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rPr>
          <w:rFonts w:hint="eastAsia"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十二包</w:t>
      </w:r>
      <w:r>
        <w:rPr>
          <w:rFonts w:hint="eastAsia" w:ascii="仿宋" w:hAnsi="仿宋" w:eastAsia="仿宋" w:cs="仿宋_GB2312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_GB2312"/>
          <w:b/>
          <w:sz w:val="32"/>
          <w:szCs w:val="32"/>
        </w:rPr>
        <w:t>室外基站式机房</w:t>
      </w:r>
    </w:p>
    <w:p>
      <w:pPr>
        <w:spacing w:line="500" w:lineRule="exact"/>
        <w:ind w:firstLine="643" w:firstLineChars="200"/>
        <w:rPr>
          <w:rFonts w:hint="eastAsia" w:ascii="仿宋" w:hAnsi="仿宋" w:eastAsia="仿宋" w:cs="仿宋_GB2312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/>
          <w:sz w:val="32"/>
          <w:szCs w:val="32"/>
          <w:lang w:val="en-US" w:eastAsia="zh-CN"/>
        </w:rPr>
        <w:t xml:space="preserve"> </w:t>
      </w:r>
    </w:p>
    <w:p>
      <w:pPr>
        <w:spacing w:line="500" w:lineRule="exact"/>
        <w:ind w:firstLine="562" w:firstLineChars="200"/>
        <w:rPr>
          <w:rFonts w:hint="eastAsia" w:ascii="仿宋" w:hAnsi="仿宋" w:eastAsia="仿宋" w:cs="仿宋_GB2312"/>
          <w:b/>
          <w:sz w:val="28"/>
          <w:szCs w:val="28"/>
          <w:lang w:eastAsia="zh-CN"/>
        </w:rPr>
      </w:pPr>
      <w:bookmarkStart w:id="4" w:name="_GoBack"/>
      <w:bookmarkEnd w:id="4"/>
      <w:r>
        <w:rPr>
          <w:rFonts w:hint="eastAsia" w:ascii="仿宋" w:hAnsi="仿宋" w:eastAsia="仿宋" w:cs="仿宋_GB2312"/>
          <w:b/>
          <w:sz w:val="28"/>
          <w:szCs w:val="28"/>
          <w:lang w:eastAsia="zh-CN"/>
        </w:rPr>
        <w:t>技术规范及要求</w:t>
      </w:r>
    </w:p>
    <w:p>
      <w:pPr>
        <w:spacing w:line="500" w:lineRule="exact"/>
        <w:ind w:firstLine="562" w:firstLineChars="200"/>
        <w:rPr>
          <w:rFonts w:ascii="仿宋" w:hAnsi="仿宋" w:eastAsia="仿宋" w:cs="仿宋_GB2312"/>
          <w:b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1、机房尺寸及规格</w:t>
      </w:r>
    </w:p>
    <w:p>
      <w:pPr>
        <w:spacing w:line="50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（1）机房尺寸为长4m±0.3m，宽3m±0.2m，高度为2.8m-3m，机房为六面体，屋面坡度3%-5%；</w:t>
      </w:r>
    </w:p>
    <w:p>
      <w:pPr>
        <w:spacing w:line="50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（2）机房内能摆放2台600*1000*2000的标准机柜、一台UPS附带电池、配电柜、一台挂壁空调等，并具有良好的操作空间；</w:t>
      </w:r>
    </w:p>
    <w:p>
      <w:pPr>
        <w:spacing w:line="500" w:lineRule="exact"/>
        <w:ind w:firstLine="562" w:firstLineChars="200"/>
        <w:rPr>
          <w:rFonts w:ascii="仿宋" w:hAnsi="仿宋" w:eastAsia="仿宋" w:cs="仿宋_GB2312"/>
          <w:b/>
          <w:sz w:val="28"/>
          <w:szCs w:val="28"/>
        </w:rPr>
      </w:pPr>
      <w:bookmarkStart w:id="0" w:name="_Toc336565084"/>
      <w:bookmarkStart w:id="1" w:name="_Toc307091605"/>
      <w:bookmarkStart w:id="2" w:name="_Toc307091604"/>
      <w:bookmarkStart w:id="3" w:name="_Toc336565073"/>
      <w:r>
        <w:rPr>
          <w:rFonts w:ascii="仿宋" w:hAnsi="仿宋" w:eastAsia="仿宋" w:cs="仿宋_GB2312"/>
          <w:b/>
          <w:sz w:val="28"/>
          <w:szCs w:val="28"/>
        </w:rPr>
        <w:t>2、</w:t>
      </w:r>
      <w:bookmarkEnd w:id="0"/>
      <w:bookmarkEnd w:id="1"/>
      <w:bookmarkEnd w:id="2"/>
      <w:bookmarkEnd w:id="3"/>
      <w:r>
        <w:rPr>
          <w:rFonts w:hint="eastAsia" w:ascii="仿宋" w:hAnsi="仿宋" w:eastAsia="仿宋" w:cs="仿宋_GB2312"/>
          <w:b/>
          <w:sz w:val="28"/>
          <w:szCs w:val="28"/>
        </w:rPr>
        <w:t>机房设计规范</w:t>
      </w:r>
    </w:p>
    <w:p>
      <w:pPr>
        <w:spacing w:line="50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（1）建筑结构的荷载规范GBJ9-87；</w:t>
      </w:r>
    </w:p>
    <w:p>
      <w:pPr>
        <w:spacing w:line="50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（2）建筑结构抗震设计规范GBJ11-89；</w:t>
      </w:r>
    </w:p>
    <w:p>
      <w:pPr>
        <w:spacing w:line="50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（3）混凝土结构设计规范GBJ10-89；</w:t>
      </w:r>
    </w:p>
    <w:p>
      <w:pPr>
        <w:spacing w:line="50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（4）压型彩钢板设计施工规程YBJ216-98；</w:t>
      </w:r>
    </w:p>
    <w:p>
      <w:pPr>
        <w:spacing w:line="50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（5）建筑材料燃烧性能分级方法GB8624-1997；</w:t>
      </w:r>
    </w:p>
    <w:p>
      <w:pPr>
        <w:spacing w:line="500" w:lineRule="exact"/>
        <w:ind w:firstLine="562" w:firstLineChars="200"/>
        <w:rPr>
          <w:rFonts w:ascii="仿宋" w:hAnsi="仿宋" w:eastAsia="仿宋" w:cs="仿宋_GB2312"/>
          <w:b/>
          <w:sz w:val="28"/>
          <w:szCs w:val="28"/>
        </w:rPr>
      </w:pPr>
      <w:r>
        <w:rPr>
          <w:rFonts w:ascii="仿宋" w:hAnsi="仿宋" w:eastAsia="仿宋" w:cs="仿宋_GB2312"/>
          <w:b/>
          <w:sz w:val="28"/>
          <w:szCs w:val="28"/>
        </w:rPr>
        <w:t>3、</w:t>
      </w:r>
      <w:r>
        <w:rPr>
          <w:rFonts w:hint="eastAsia" w:ascii="仿宋" w:hAnsi="仿宋" w:eastAsia="仿宋" w:cs="仿宋_GB2312"/>
          <w:b/>
          <w:sz w:val="28"/>
          <w:szCs w:val="28"/>
        </w:rPr>
        <w:t>机房建设材料</w:t>
      </w:r>
    </w:p>
    <w:p>
      <w:pPr>
        <w:spacing w:line="50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（1）底盘部分：</w:t>
      </w:r>
      <w:r>
        <w:rPr>
          <w:rFonts w:ascii="仿宋" w:hAnsi="仿宋" w:eastAsia="仿宋" w:cs="仿宋_GB2312"/>
          <w:sz w:val="28"/>
          <w:szCs w:val="28"/>
        </w:rPr>
        <w:t>标准工业用槽钢、角钢、经焊接而成，具有设计结构合理；焊接工艺先进；经过多道防腐、防锈、化学表面处理；整体不变型 ；强度高等特点。适应整体吊装运输。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（2）地板：胶合板、夹心材料为彩钢复合而成。每平方1000KG，防静电功能。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</w:t>
      </w:r>
      <w:r>
        <w:rPr>
          <w:rFonts w:ascii="仿宋" w:hAnsi="仿宋" w:eastAsia="仿宋"/>
          <w:sz w:val="28"/>
          <w:szCs w:val="28"/>
        </w:rPr>
        <w:t>顶盖</w:t>
      </w:r>
      <w:r>
        <w:rPr>
          <w:rFonts w:hint="eastAsia" w:ascii="仿宋" w:hAnsi="仿宋" w:eastAsia="仿宋"/>
          <w:sz w:val="28"/>
          <w:szCs w:val="28"/>
        </w:rPr>
        <w:t>和</w:t>
      </w:r>
      <w:r>
        <w:rPr>
          <w:rFonts w:ascii="仿宋" w:hAnsi="仿宋" w:eastAsia="仿宋"/>
          <w:sz w:val="28"/>
          <w:szCs w:val="28"/>
        </w:rPr>
        <w:t>箱体部分：</w:t>
      </w:r>
      <w:r>
        <w:rPr>
          <w:rFonts w:hint="eastAsia" w:ascii="仿宋" w:hAnsi="仿宋" w:eastAsia="仿宋"/>
          <w:sz w:val="28"/>
          <w:szCs w:val="28"/>
        </w:rPr>
        <w:t>使用</w:t>
      </w:r>
      <w:r>
        <w:rPr>
          <w:rFonts w:ascii="仿宋" w:hAnsi="仿宋" w:eastAsia="仿宋"/>
          <w:sz w:val="28"/>
          <w:szCs w:val="28"/>
        </w:rPr>
        <w:t>钢骨架，整体预制而成，且强度高，防雨性能优越。整体为活动式顶盖，造型别致、吊装方便，外形结构分平顶式。</w:t>
      </w:r>
      <w:r>
        <w:rPr>
          <w:rFonts w:hint="eastAsia" w:ascii="仿宋" w:hAnsi="仿宋" w:eastAsia="仿宋"/>
          <w:sz w:val="28"/>
          <w:szCs w:val="28"/>
        </w:rPr>
        <w:t>使用的彩钢板为硬质聚氨酯（PU）夹芯板，内外均为不小于0.7mm以上厚度，内部在有挂墙设备的位置应增设加强衬板。防火性能应符合GB8624-1997中规定的B2级。不能用胶水黏贴的夹芯聚氨脂（PU）彩钢板，必须用一次浇注成型的夹芯聚氨脂（PU）彩钢板。</w:t>
      </w:r>
      <w:r>
        <w:rPr>
          <w:rFonts w:ascii="仿宋" w:hAnsi="仿宋" w:eastAsia="仿宋"/>
          <w:sz w:val="28"/>
          <w:szCs w:val="28"/>
        </w:rPr>
        <w:t>非金属类箱体</w:t>
      </w:r>
      <w:r>
        <w:rPr>
          <w:rFonts w:hint="eastAsia" w:ascii="仿宋" w:hAnsi="仿宋" w:eastAsia="仿宋"/>
          <w:sz w:val="28"/>
          <w:szCs w:val="28"/>
        </w:rPr>
        <w:t>应</w:t>
      </w:r>
      <w:r>
        <w:rPr>
          <w:rFonts w:ascii="仿宋" w:hAnsi="仿宋" w:eastAsia="仿宋"/>
          <w:sz w:val="28"/>
          <w:szCs w:val="28"/>
        </w:rPr>
        <w:t>符合国家标准的建筑用材料，采用科学配方，衬以钢结构骨架预制而成，具有良好的抗弯、抗 冲击、抗拉强度，并且有防冻、防裂、防潮、防水、防火、防风沙及抗腐蚀等特性。防护等级IP23DH能承受高强度的机械外力冲击，且设计有供自然通风的通风网栅和铝合金百叶窗，能有效地对太阳的 辐射和各种电器运行时产生的温升，减少到最低限度。</w:t>
      </w:r>
      <w:r>
        <w:rPr>
          <w:rFonts w:ascii="仿宋" w:eastAsia="仿宋"/>
          <w:sz w:val="28"/>
          <w:szCs w:val="28"/>
        </w:rPr>
        <w:t> </w:t>
      </w:r>
      <w:r>
        <w:rPr>
          <w:rFonts w:hint="eastAsia" w:ascii="仿宋" w:hAnsi="仿宋" w:eastAsia="仿宋"/>
          <w:sz w:val="28"/>
          <w:szCs w:val="28"/>
        </w:rPr>
        <w:t>所采用的夹心钢板表面应连续、均匀，纹理与相应的标准样板保持一致，且无结瘤、缩孔、起泡、针孔、开裂、剥落、粉化、颗粒、流挂、露底、夹杂脏物等缺陷。</w:t>
      </w:r>
    </w:p>
    <w:p>
      <w:pPr>
        <w:spacing w:line="5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4、环境和抗压要求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建成后的机房整体结构应具备承受各种气候环境的能力，包括：雨、雪、冰雹、风、冰、凝露、雷电、电磁兼容及不同等级的太阳辐射等。保证机房在室外－45℃～55℃温度范围使用，加装空调后机房内温度在＋5℃～＋32℃范围内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（2）整体结构应满足相关抗压要求：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屋面材料和墙面板材抗压：0.3KN/㎡。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风荷载：最大可承受基本风压0.45 KN/㎡，符合场地类B类。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雪荷载：最大可承受基本雪压：0.50 KN/㎡。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可变荷载：0.30 KN/㎡不与雪荷载同时考虑。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机房地面承重设计荷载：0.98 KN/㎡。</w:t>
      </w:r>
    </w:p>
    <w:p>
      <w:pPr>
        <w:spacing w:line="5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5、机房地面基础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野外基础根据现场地势情况，确定基础高度。机房内地面高度要求高出室外道路50cm以上。做进门台阶，台阶数量视机房所在地的基础高度而定。</w:t>
      </w:r>
    </w:p>
    <w:p>
      <w:pPr>
        <w:spacing w:line="5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6、房体其他要求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（1）外墙四周墙角均采用一次成型铝合金经加工成圆包弧。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采用喷塑高效重型防盗门，门洞尺寸为≥950×2050。安全门要足够大以便于设备的搬运。安全门应采用外开方式。门打开后内径≥0.96米，高≥2米，安全门应采用镀锌烤漆，抗老化、耐腐蚀，锁孔防雨，门的整体密封、隔热、保温、防水良好。必须采用“盼盼、王力”等品牌室外安全门之一。须制作防盗门雨罩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（3）在室外制作空调外机防盗栏。</w:t>
      </w:r>
    </w:p>
    <w:p>
      <w:pPr>
        <w:spacing w:line="5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7、各部件的连接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（1）室内地平面高出室外基准地平面。机房外围四周采用水泥砂浆作散水坡，刷水柏油涂层二道，确保室内没有雨水渗入。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（2）地槛与墙板连接要求：内外采专业防水处理，使机房的密封性达到保温、隔热、防水的要求。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（3）顶板与墙板的连接要求：四周顶板均外抛墙板100mm，外墙上端阴角采用铝合金板经加工的角钢（35×35×1mm）与顶板经拉铆钉连接，内墙各角边均采用专用内角与顶板经拉铆连接，然后用玻璃胶密封处理。</w:t>
      </w:r>
    </w:p>
    <w:p>
      <w:pPr>
        <w:spacing w:line="5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8、 防水与密封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（1）防水处理：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顶板与顶板之间的拼接采用咬口自拼，双向内插50mm，上口采用自身彩钢板拆角40mm成槽，加盖槽板，拉铆连接，并用玻璃胶密封，绝无雨水渗漏之患。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（2）密封处理：</w:t>
      </w:r>
    </w:p>
    <w:p>
      <w:pPr>
        <w:spacing w:line="5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门框截面四周均采用100mm宽的框架履边处理，使门框与墙板形成一个整体，内侧门框均采用环形隔音密封条，起到自吸隔音、防雨水的功效。</w:t>
      </w:r>
      <w:r>
        <w:rPr>
          <w:rFonts w:hint="eastAsia" w:ascii="仿宋" w:hAnsi="仿宋" w:eastAsia="仿宋"/>
          <w:sz w:val="28"/>
          <w:szCs w:val="28"/>
          <w:highlight w:val="yellow"/>
          <w:lang w:eastAsia="zh-CN"/>
        </w:rPr>
        <w:t>底盘和野外基础之间无缝隙。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（3）机房的任何孔洞应能达到防水、防盗、防虫效果。</w:t>
      </w:r>
    </w:p>
    <w:p>
      <w:pPr>
        <w:spacing w:line="5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9、机房制作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409575</wp:posOffset>
            </wp:positionV>
            <wp:extent cx="4543425" cy="3166745"/>
            <wp:effectExtent l="19050" t="0" r="9525" b="0"/>
            <wp:wrapSquare wrapText="bothSides"/>
            <wp:docPr id="3" name="图片 2" descr="D:\D盘资料\Documents\Tencent Files\732596333\Image\C2C\M~0I@`7UUGAKV][X]US`7U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D:\D盘资料\Documents\Tencent Files\732596333\Image\C2C\M~0I@`7UUGAKV][X]US`7U7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16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28"/>
          <w:szCs w:val="28"/>
        </w:rPr>
        <w:t>（1）机房整体外观</w:t>
      </w:r>
    </w:p>
    <w:p>
      <w:pPr>
        <w:tabs>
          <w:tab w:val="left" w:pos="1560"/>
        </w:tabs>
        <w:spacing w:line="360" w:lineRule="auto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（2）机房结构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由地盘、箱体、顶盖三大部分组成。</w:t>
      </w:r>
      <w:r>
        <w:rPr>
          <w:rFonts w:ascii="仿宋" w:eastAsia="仿宋"/>
          <w:sz w:val="28"/>
          <w:szCs w:val="28"/>
        </w:rPr>
        <w:t> </w:t>
      </w:r>
    </w:p>
    <w:p>
      <w:pPr>
        <w:tabs>
          <w:tab w:val="left" w:pos="1560"/>
        </w:tabs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drawing>
          <wp:inline distT="0" distB="0" distL="0" distR="0">
            <wp:extent cx="5086350" cy="2676525"/>
            <wp:effectExtent l="19050" t="0" r="0" b="0"/>
            <wp:docPr id="1" name="图片 1" descr="E@_V6DW{AV[TH}K`QXY]UP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@_V6DW{AV[TH}K`QXY]UPT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（3）底盘和钢架</w:t>
      </w:r>
    </w:p>
    <w:p>
      <w:pPr>
        <w:tabs>
          <w:tab w:val="left" w:pos="1560"/>
        </w:tabs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drawing>
          <wp:inline distT="0" distB="0" distL="0" distR="0">
            <wp:extent cx="5248275" cy="441960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（4）室内槽架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采用上走线架。室内走线架应采用SUS304不锈钢材料，400mm宽，必须能够满足30Kg/m2的承载力，并与顶板固定。槽道间接连处平直，保证光缆走线规范。</w:t>
      </w:r>
    </w:p>
    <w:p>
      <w:pPr>
        <w:tabs>
          <w:tab w:val="left" w:pos="0"/>
        </w:tabs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drawing>
          <wp:inline distT="0" distB="0" distL="0" distR="0">
            <wp:extent cx="2484120" cy="1838325"/>
            <wp:effectExtent l="19050" t="0" r="0" b="0"/>
            <wp:docPr id="32" name="图片 32" descr="C:\Users\Administrator\Desktop\桥架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C:\Users\Administrator\Desktop\桥架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4223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sz w:val="28"/>
          <w:szCs w:val="28"/>
        </w:rPr>
        <w:drawing>
          <wp:inline distT="0" distB="0" distL="0" distR="0">
            <wp:extent cx="2494280" cy="1866900"/>
            <wp:effectExtent l="19050" t="0" r="692" b="0"/>
            <wp:docPr id="34" name="图片 34" descr="C:\Users\Administrator\Desktop\桥架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C:\Users\Administrator\Desktop\桥架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4858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560"/>
        </w:tabs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外部走线架与电杆水平连接，与电杆抱箍固定。做到高度一致、连接稳固。</w:t>
      </w:r>
    </w:p>
    <w:p>
      <w:pPr>
        <w:tabs>
          <w:tab w:val="left" w:pos="1560"/>
        </w:tabs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drawing>
          <wp:inline distT="0" distB="0" distL="0" distR="0">
            <wp:extent cx="5267325" cy="239077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（5）馈线窗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内外走线架连接采用通信专用馈线窗，</w:t>
      </w:r>
      <w:r>
        <w:rPr>
          <w:rFonts w:ascii="仿宋" w:hAnsi="仿宋" w:eastAsia="仿宋"/>
          <w:sz w:val="28"/>
          <w:szCs w:val="28"/>
        </w:rPr>
        <w:t>外形尺寸300×400(mm)</w:t>
      </w:r>
      <w:r>
        <w:rPr>
          <w:rFonts w:hint="eastAsia" w:ascii="仿宋" w:hAnsi="仿宋" w:eastAsia="仿宋"/>
          <w:sz w:val="28"/>
          <w:szCs w:val="28"/>
        </w:rPr>
        <w:t>，孔数为九孔，每个大孔含三个小孔，</w:t>
      </w:r>
      <w:r>
        <w:rPr>
          <w:rFonts w:ascii="仿宋" w:hAnsi="仿宋" w:eastAsia="仿宋"/>
          <w:sz w:val="28"/>
          <w:szCs w:val="28"/>
        </w:rPr>
        <w:t>进线孔</w:t>
      </w:r>
      <w:r>
        <w:rPr>
          <w:rFonts w:hint="eastAsia" w:ascii="仿宋" w:hAnsi="仿宋" w:eastAsia="仿宋"/>
          <w:sz w:val="28"/>
          <w:szCs w:val="28"/>
        </w:rPr>
        <w:t>为整圆孔；馈线窗的</w:t>
      </w:r>
      <w:r>
        <w:rPr>
          <w:rFonts w:ascii="仿宋" w:hAnsi="仿宋" w:eastAsia="仿宋"/>
          <w:sz w:val="28"/>
          <w:szCs w:val="28"/>
        </w:rPr>
        <w:t>安装槽内装有密封圈板。</w:t>
      </w:r>
      <w:r>
        <w:rPr>
          <w:rFonts w:hint="eastAsia" w:ascii="仿宋" w:hAnsi="仿宋" w:eastAsia="仿宋"/>
          <w:sz w:val="28"/>
          <w:szCs w:val="28"/>
        </w:rPr>
        <w:t>如图：</w:t>
      </w:r>
    </w:p>
    <w:p>
      <w:pPr>
        <w:tabs>
          <w:tab w:val="left" w:pos="1560"/>
        </w:tabs>
        <w:spacing w:line="360" w:lineRule="auto"/>
        <w:rPr>
          <w:rFonts w:ascii="仿宋" w:hAnsi="仿宋" w:eastAsia="仿宋" w:cs="Arial"/>
          <w:color w:val="0000CC"/>
        </w:rPr>
      </w:pP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 w:cs="Arial"/>
          <w:color w:val="0000CC"/>
        </w:rPr>
        <w:drawing>
          <wp:inline distT="0" distB="0" distL="0" distR="0">
            <wp:extent cx="1895475" cy="1295400"/>
            <wp:effectExtent l="19050" t="0" r="9525" b="0"/>
            <wp:docPr id="5" name="图片 5" descr="u=2183552964,2909854647&amp;fm=11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u=2183552964,2909854647&amp;fm=116&amp;gp=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5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10、防雷接地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（1）机房应满足国家通信行业标准YD 5078-98《通信工程电源系统防雷技术规定》要求。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（2）外墙壁需设置接地排长≥300mm、宽≥80mm、厚≥6mm，接地极规格</w:t>
      </w:r>
      <w:r>
        <w:rPr>
          <w:rFonts w:ascii="仿宋" w:hAnsi="仿宋" w:eastAsia="仿宋"/>
          <w:sz w:val="28"/>
          <w:szCs w:val="28"/>
        </w:rPr>
        <w:t>40mm*40mm*2000mm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5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11、室内电气设备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将室外220V电引入室内接进配电柜并安装配电柜，规格大于宽度600*高度1200*厚度400mm，配电柜采用挂壁安装。配电箱内配置：一组交流电源防雷模组，含防雷保护接地；单相电流双向转换刀闸2P100；总开关自动合闸装置1套；1只C63；1只C40；8只C32空开，5只C16，空开连接线要求大于4.0平方以上或铜排接线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（2）机房内安装开关、插座、照明灯具等。</w:t>
      </w:r>
      <w:r>
        <w:rPr>
          <w:rFonts w:ascii="仿宋" w:hAnsi="仿宋" w:eastAsia="仿宋"/>
          <w:sz w:val="28"/>
          <w:szCs w:val="28"/>
        </w:rPr>
        <w:t>插座、开关应采用明装方</w:t>
      </w:r>
      <w:r>
        <w:rPr>
          <w:rFonts w:hint="eastAsia" w:ascii="仿宋" w:hAnsi="仿宋" w:eastAsia="仿宋"/>
          <w:sz w:val="28"/>
          <w:szCs w:val="28"/>
        </w:rPr>
        <w:t>式，并安装2组五孔测试电源插座；配机柜至空调线采用4平方铜芯电源线；配机柜至照明及插座线采用2.5平方线；配电柜至两处监控点的铜芯线各配置一组，且大于1.5平方以上；所用铜芯线必须做好分色，并与配电箱空开等相连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交流电源防雷模组采用等电位截流，能快速防雷，遏制浪涌电流，电源AC220V,截流大于20KA以上。室内分别配置2只应急灯和2只不小于40W节能灯（日光灯）保证机房内的照度符合通信机房要求。灯具位置应避开走线架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（4）电气设备（指配电柜、空开）须采用西门子、正泰、德力西品牌。</w:t>
      </w:r>
    </w:p>
    <w:sectPr>
      <w:headerReference r:id="rId3" w:type="default"/>
      <w:footerReference r:id="rId4" w:type="default"/>
      <w:footerReference r:id="rId5" w:type="even"/>
      <w:pgSz w:w="11907" w:h="16840"/>
      <w:pgMar w:top="1531" w:right="1106" w:bottom="1531" w:left="1134" w:header="851" w:footer="992" w:gutter="0"/>
      <w:pgNumType w:fmt="numberInDash"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separate"/>
    </w:r>
    <w:r>
      <w:rPr>
        <w:rStyle w:val="15"/>
      </w:rPr>
      <w:t>- 5 -</w:t>
    </w:r>
    <w:r>
      <w:fldChar w:fldCharType="end"/>
    </w: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separate"/>
    </w:r>
    <w:r>
      <w:rPr>
        <w:rStyle w:val="15"/>
      </w:rPr>
      <w:t>- 12 -</w:t>
    </w:r>
    <w: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jNTQxYTRlOTE4ZGRmMDk1Mjg1ZDRjNGMxMjZjMjcifQ=="/>
  </w:docVars>
  <w:rsids>
    <w:rsidRoot w:val="00172A27"/>
    <w:rsid w:val="00002843"/>
    <w:rsid w:val="00021E4A"/>
    <w:rsid w:val="00021E7C"/>
    <w:rsid w:val="000343DB"/>
    <w:rsid w:val="00037174"/>
    <w:rsid w:val="0004795C"/>
    <w:rsid w:val="00052ECD"/>
    <w:rsid w:val="00055599"/>
    <w:rsid w:val="00055BCC"/>
    <w:rsid w:val="00077319"/>
    <w:rsid w:val="000827B7"/>
    <w:rsid w:val="000837BC"/>
    <w:rsid w:val="00084D2B"/>
    <w:rsid w:val="00086A06"/>
    <w:rsid w:val="00090B30"/>
    <w:rsid w:val="00090F5C"/>
    <w:rsid w:val="00092734"/>
    <w:rsid w:val="00094B57"/>
    <w:rsid w:val="0009644D"/>
    <w:rsid w:val="000976DB"/>
    <w:rsid w:val="000A12CB"/>
    <w:rsid w:val="000A4D52"/>
    <w:rsid w:val="000A76F2"/>
    <w:rsid w:val="000B0263"/>
    <w:rsid w:val="000C0EA2"/>
    <w:rsid w:val="000C3273"/>
    <w:rsid w:val="000C473A"/>
    <w:rsid w:val="000C65FC"/>
    <w:rsid w:val="000D69F1"/>
    <w:rsid w:val="000D7831"/>
    <w:rsid w:val="000E0B0B"/>
    <w:rsid w:val="00100167"/>
    <w:rsid w:val="00111071"/>
    <w:rsid w:val="0011374E"/>
    <w:rsid w:val="001208F6"/>
    <w:rsid w:val="00122281"/>
    <w:rsid w:val="00122C07"/>
    <w:rsid w:val="0012661F"/>
    <w:rsid w:val="001302DB"/>
    <w:rsid w:val="00130EDD"/>
    <w:rsid w:val="00132C31"/>
    <w:rsid w:val="0014582E"/>
    <w:rsid w:val="0015422A"/>
    <w:rsid w:val="00164929"/>
    <w:rsid w:val="00167CF3"/>
    <w:rsid w:val="00170137"/>
    <w:rsid w:val="00171B89"/>
    <w:rsid w:val="00172A27"/>
    <w:rsid w:val="0018054F"/>
    <w:rsid w:val="001816C1"/>
    <w:rsid w:val="00183CC7"/>
    <w:rsid w:val="00185E40"/>
    <w:rsid w:val="00191506"/>
    <w:rsid w:val="00191DFD"/>
    <w:rsid w:val="00195F9D"/>
    <w:rsid w:val="00196791"/>
    <w:rsid w:val="001A323A"/>
    <w:rsid w:val="001A56E1"/>
    <w:rsid w:val="001B2D51"/>
    <w:rsid w:val="001B478B"/>
    <w:rsid w:val="001C4B2D"/>
    <w:rsid w:val="001D56D7"/>
    <w:rsid w:val="001E4C9E"/>
    <w:rsid w:val="001E66BF"/>
    <w:rsid w:val="001F4B65"/>
    <w:rsid w:val="0020478B"/>
    <w:rsid w:val="00217CC4"/>
    <w:rsid w:val="00223E2A"/>
    <w:rsid w:val="00226555"/>
    <w:rsid w:val="002300A3"/>
    <w:rsid w:val="002319DC"/>
    <w:rsid w:val="00235986"/>
    <w:rsid w:val="00236701"/>
    <w:rsid w:val="0025129F"/>
    <w:rsid w:val="00252945"/>
    <w:rsid w:val="002555A6"/>
    <w:rsid w:val="002565E3"/>
    <w:rsid w:val="00257212"/>
    <w:rsid w:val="002606D2"/>
    <w:rsid w:val="00265CB4"/>
    <w:rsid w:val="00273825"/>
    <w:rsid w:val="0027738B"/>
    <w:rsid w:val="00280E8C"/>
    <w:rsid w:val="002906A5"/>
    <w:rsid w:val="00297995"/>
    <w:rsid w:val="002A04D7"/>
    <w:rsid w:val="002A3540"/>
    <w:rsid w:val="002C0CB6"/>
    <w:rsid w:val="002D084E"/>
    <w:rsid w:val="002D5F5D"/>
    <w:rsid w:val="002D5F6F"/>
    <w:rsid w:val="002D61E8"/>
    <w:rsid w:val="002D64C1"/>
    <w:rsid w:val="002D7932"/>
    <w:rsid w:val="002E1167"/>
    <w:rsid w:val="002E72E8"/>
    <w:rsid w:val="002F1C94"/>
    <w:rsid w:val="002F24D9"/>
    <w:rsid w:val="002F26EB"/>
    <w:rsid w:val="00304B13"/>
    <w:rsid w:val="00304E0D"/>
    <w:rsid w:val="00313DC1"/>
    <w:rsid w:val="00317483"/>
    <w:rsid w:val="003177A6"/>
    <w:rsid w:val="00321100"/>
    <w:rsid w:val="00323A8A"/>
    <w:rsid w:val="003247B2"/>
    <w:rsid w:val="003268B2"/>
    <w:rsid w:val="00336281"/>
    <w:rsid w:val="00344FDF"/>
    <w:rsid w:val="00345291"/>
    <w:rsid w:val="00352B43"/>
    <w:rsid w:val="003535E8"/>
    <w:rsid w:val="00357167"/>
    <w:rsid w:val="003575F7"/>
    <w:rsid w:val="00362D29"/>
    <w:rsid w:val="00363ABD"/>
    <w:rsid w:val="00375AFA"/>
    <w:rsid w:val="003766F6"/>
    <w:rsid w:val="00377B51"/>
    <w:rsid w:val="00382C1B"/>
    <w:rsid w:val="0038497D"/>
    <w:rsid w:val="00395F05"/>
    <w:rsid w:val="003A3BD2"/>
    <w:rsid w:val="003C4C93"/>
    <w:rsid w:val="003C576A"/>
    <w:rsid w:val="003D04F7"/>
    <w:rsid w:val="003D27CE"/>
    <w:rsid w:val="003F3EF5"/>
    <w:rsid w:val="003F61B1"/>
    <w:rsid w:val="003F7BC3"/>
    <w:rsid w:val="00402B67"/>
    <w:rsid w:val="00406AA1"/>
    <w:rsid w:val="00412307"/>
    <w:rsid w:val="00415768"/>
    <w:rsid w:val="00417072"/>
    <w:rsid w:val="00417BBE"/>
    <w:rsid w:val="004270A0"/>
    <w:rsid w:val="00433783"/>
    <w:rsid w:val="004441C1"/>
    <w:rsid w:val="0044664F"/>
    <w:rsid w:val="00446A63"/>
    <w:rsid w:val="004478E7"/>
    <w:rsid w:val="00452023"/>
    <w:rsid w:val="00461C72"/>
    <w:rsid w:val="004623F5"/>
    <w:rsid w:val="004627D7"/>
    <w:rsid w:val="004627DD"/>
    <w:rsid w:val="0046514D"/>
    <w:rsid w:val="0047185C"/>
    <w:rsid w:val="0047246B"/>
    <w:rsid w:val="00474D6A"/>
    <w:rsid w:val="004755B9"/>
    <w:rsid w:val="00484354"/>
    <w:rsid w:val="004862C0"/>
    <w:rsid w:val="004924DE"/>
    <w:rsid w:val="00495FA8"/>
    <w:rsid w:val="004A006A"/>
    <w:rsid w:val="004A1CCD"/>
    <w:rsid w:val="004A2507"/>
    <w:rsid w:val="004A2A50"/>
    <w:rsid w:val="004A308E"/>
    <w:rsid w:val="004A444E"/>
    <w:rsid w:val="004A5EB5"/>
    <w:rsid w:val="004B05D8"/>
    <w:rsid w:val="004C0E19"/>
    <w:rsid w:val="004C62C8"/>
    <w:rsid w:val="004C7AEB"/>
    <w:rsid w:val="004D3DB8"/>
    <w:rsid w:val="004E18F6"/>
    <w:rsid w:val="004E2B69"/>
    <w:rsid w:val="004E7476"/>
    <w:rsid w:val="004F185C"/>
    <w:rsid w:val="004F1E9F"/>
    <w:rsid w:val="00502A4F"/>
    <w:rsid w:val="00503025"/>
    <w:rsid w:val="00504D82"/>
    <w:rsid w:val="00510B8D"/>
    <w:rsid w:val="00515103"/>
    <w:rsid w:val="005162C6"/>
    <w:rsid w:val="00516339"/>
    <w:rsid w:val="00523C07"/>
    <w:rsid w:val="00527788"/>
    <w:rsid w:val="005307F8"/>
    <w:rsid w:val="0054447D"/>
    <w:rsid w:val="005449C4"/>
    <w:rsid w:val="00550017"/>
    <w:rsid w:val="00550DEC"/>
    <w:rsid w:val="0055479E"/>
    <w:rsid w:val="00563535"/>
    <w:rsid w:val="00566EA5"/>
    <w:rsid w:val="00575E87"/>
    <w:rsid w:val="00581EE0"/>
    <w:rsid w:val="00586B13"/>
    <w:rsid w:val="0058791B"/>
    <w:rsid w:val="00591C4C"/>
    <w:rsid w:val="00594127"/>
    <w:rsid w:val="005A2DB6"/>
    <w:rsid w:val="005A5621"/>
    <w:rsid w:val="005A623F"/>
    <w:rsid w:val="005D55B0"/>
    <w:rsid w:val="005E0FF4"/>
    <w:rsid w:val="005E140B"/>
    <w:rsid w:val="005E541C"/>
    <w:rsid w:val="005E60BF"/>
    <w:rsid w:val="005F3402"/>
    <w:rsid w:val="005F3EC6"/>
    <w:rsid w:val="0060563C"/>
    <w:rsid w:val="00605C77"/>
    <w:rsid w:val="0060689E"/>
    <w:rsid w:val="00610757"/>
    <w:rsid w:val="006115C2"/>
    <w:rsid w:val="00611CB0"/>
    <w:rsid w:val="00616E90"/>
    <w:rsid w:val="00627458"/>
    <w:rsid w:val="00635552"/>
    <w:rsid w:val="0063660E"/>
    <w:rsid w:val="0064167C"/>
    <w:rsid w:val="00642F31"/>
    <w:rsid w:val="0064562C"/>
    <w:rsid w:val="00657DB2"/>
    <w:rsid w:val="0066030C"/>
    <w:rsid w:val="006617BD"/>
    <w:rsid w:val="00661ADC"/>
    <w:rsid w:val="006620B1"/>
    <w:rsid w:val="0066582E"/>
    <w:rsid w:val="006707CE"/>
    <w:rsid w:val="00674011"/>
    <w:rsid w:val="00684A29"/>
    <w:rsid w:val="00691A67"/>
    <w:rsid w:val="00694069"/>
    <w:rsid w:val="006944AF"/>
    <w:rsid w:val="00695628"/>
    <w:rsid w:val="006A1F83"/>
    <w:rsid w:val="006A5E8C"/>
    <w:rsid w:val="006B4F95"/>
    <w:rsid w:val="006B7011"/>
    <w:rsid w:val="006D0C9F"/>
    <w:rsid w:val="006E02DA"/>
    <w:rsid w:val="006E04D9"/>
    <w:rsid w:val="006E0AF0"/>
    <w:rsid w:val="006E377C"/>
    <w:rsid w:val="006E4AD6"/>
    <w:rsid w:val="006E7866"/>
    <w:rsid w:val="006F0F5B"/>
    <w:rsid w:val="006F2F05"/>
    <w:rsid w:val="006F4004"/>
    <w:rsid w:val="00702B22"/>
    <w:rsid w:val="00703250"/>
    <w:rsid w:val="007065A7"/>
    <w:rsid w:val="007122BA"/>
    <w:rsid w:val="007221A8"/>
    <w:rsid w:val="00724734"/>
    <w:rsid w:val="007268FD"/>
    <w:rsid w:val="00727DC5"/>
    <w:rsid w:val="00730A15"/>
    <w:rsid w:val="007310E7"/>
    <w:rsid w:val="007336EC"/>
    <w:rsid w:val="00733945"/>
    <w:rsid w:val="00734093"/>
    <w:rsid w:val="007426FA"/>
    <w:rsid w:val="0074541D"/>
    <w:rsid w:val="0075005F"/>
    <w:rsid w:val="00751830"/>
    <w:rsid w:val="00751B07"/>
    <w:rsid w:val="00753E01"/>
    <w:rsid w:val="00756971"/>
    <w:rsid w:val="007613C5"/>
    <w:rsid w:val="00761ECC"/>
    <w:rsid w:val="00762B52"/>
    <w:rsid w:val="00781353"/>
    <w:rsid w:val="00785ACD"/>
    <w:rsid w:val="00786A9F"/>
    <w:rsid w:val="007907F3"/>
    <w:rsid w:val="00793901"/>
    <w:rsid w:val="00794328"/>
    <w:rsid w:val="007A2776"/>
    <w:rsid w:val="007A3C54"/>
    <w:rsid w:val="007A428F"/>
    <w:rsid w:val="007A52DD"/>
    <w:rsid w:val="007A7599"/>
    <w:rsid w:val="007A7DF8"/>
    <w:rsid w:val="007B2AB4"/>
    <w:rsid w:val="007B5B5D"/>
    <w:rsid w:val="007B65F2"/>
    <w:rsid w:val="007D46DF"/>
    <w:rsid w:val="007D6DE0"/>
    <w:rsid w:val="007E3655"/>
    <w:rsid w:val="007E5239"/>
    <w:rsid w:val="007E5262"/>
    <w:rsid w:val="007E747D"/>
    <w:rsid w:val="007F4006"/>
    <w:rsid w:val="007F77C6"/>
    <w:rsid w:val="0080332D"/>
    <w:rsid w:val="008062E7"/>
    <w:rsid w:val="0080641C"/>
    <w:rsid w:val="00811703"/>
    <w:rsid w:val="00814EAE"/>
    <w:rsid w:val="008158DC"/>
    <w:rsid w:val="00816985"/>
    <w:rsid w:val="0082042C"/>
    <w:rsid w:val="008249C2"/>
    <w:rsid w:val="00836F3E"/>
    <w:rsid w:val="00840EBF"/>
    <w:rsid w:val="008425E3"/>
    <w:rsid w:val="0084413D"/>
    <w:rsid w:val="0084429E"/>
    <w:rsid w:val="00844533"/>
    <w:rsid w:val="00850E2A"/>
    <w:rsid w:val="00861E03"/>
    <w:rsid w:val="008643B9"/>
    <w:rsid w:val="00872873"/>
    <w:rsid w:val="0088146B"/>
    <w:rsid w:val="0088392B"/>
    <w:rsid w:val="00884217"/>
    <w:rsid w:val="0088475F"/>
    <w:rsid w:val="0088729F"/>
    <w:rsid w:val="00892B54"/>
    <w:rsid w:val="0089707A"/>
    <w:rsid w:val="008A12A4"/>
    <w:rsid w:val="008A6264"/>
    <w:rsid w:val="008B0AF8"/>
    <w:rsid w:val="008B0B10"/>
    <w:rsid w:val="008B2CA0"/>
    <w:rsid w:val="008B65F1"/>
    <w:rsid w:val="008C064E"/>
    <w:rsid w:val="008C085B"/>
    <w:rsid w:val="008C0DBC"/>
    <w:rsid w:val="008C1B9B"/>
    <w:rsid w:val="008D1187"/>
    <w:rsid w:val="008D17AA"/>
    <w:rsid w:val="008D5231"/>
    <w:rsid w:val="008D6248"/>
    <w:rsid w:val="008D6B26"/>
    <w:rsid w:val="008E217B"/>
    <w:rsid w:val="008E6B44"/>
    <w:rsid w:val="008E6BAC"/>
    <w:rsid w:val="008F3480"/>
    <w:rsid w:val="008F62E4"/>
    <w:rsid w:val="00910ACA"/>
    <w:rsid w:val="009135F1"/>
    <w:rsid w:val="00914520"/>
    <w:rsid w:val="00916517"/>
    <w:rsid w:val="00917265"/>
    <w:rsid w:val="00921949"/>
    <w:rsid w:val="00922534"/>
    <w:rsid w:val="00930592"/>
    <w:rsid w:val="009324ED"/>
    <w:rsid w:val="0093735A"/>
    <w:rsid w:val="00943B79"/>
    <w:rsid w:val="009475D8"/>
    <w:rsid w:val="00952A0F"/>
    <w:rsid w:val="009617D5"/>
    <w:rsid w:val="009627D1"/>
    <w:rsid w:val="00965770"/>
    <w:rsid w:val="00966EE8"/>
    <w:rsid w:val="00973D1D"/>
    <w:rsid w:val="0098345E"/>
    <w:rsid w:val="0099275F"/>
    <w:rsid w:val="00995457"/>
    <w:rsid w:val="00996079"/>
    <w:rsid w:val="009A03E1"/>
    <w:rsid w:val="009A34EA"/>
    <w:rsid w:val="009A77F2"/>
    <w:rsid w:val="009B335C"/>
    <w:rsid w:val="009B736E"/>
    <w:rsid w:val="009C312E"/>
    <w:rsid w:val="009C5081"/>
    <w:rsid w:val="009C6ACF"/>
    <w:rsid w:val="009D5510"/>
    <w:rsid w:val="009E19F2"/>
    <w:rsid w:val="009E6957"/>
    <w:rsid w:val="009E7F9F"/>
    <w:rsid w:val="009F2023"/>
    <w:rsid w:val="009F2AFA"/>
    <w:rsid w:val="009F76FF"/>
    <w:rsid w:val="00A0121C"/>
    <w:rsid w:val="00A14D97"/>
    <w:rsid w:val="00A2343E"/>
    <w:rsid w:val="00A25D8D"/>
    <w:rsid w:val="00A311E7"/>
    <w:rsid w:val="00A3189C"/>
    <w:rsid w:val="00A31C90"/>
    <w:rsid w:val="00A47B26"/>
    <w:rsid w:val="00A51008"/>
    <w:rsid w:val="00A6152B"/>
    <w:rsid w:val="00A64216"/>
    <w:rsid w:val="00A71544"/>
    <w:rsid w:val="00A757A8"/>
    <w:rsid w:val="00A7629E"/>
    <w:rsid w:val="00A83230"/>
    <w:rsid w:val="00A83645"/>
    <w:rsid w:val="00A91F74"/>
    <w:rsid w:val="00AA3F17"/>
    <w:rsid w:val="00AB4AB5"/>
    <w:rsid w:val="00AB5611"/>
    <w:rsid w:val="00AC3A0B"/>
    <w:rsid w:val="00AC4571"/>
    <w:rsid w:val="00AC6F2F"/>
    <w:rsid w:val="00AD0B90"/>
    <w:rsid w:val="00AD1592"/>
    <w:rsid w:val="00AD2310"/>
    <w:rsid w:val="00AD29F2"/>
    <w:rsid w:val="00AD2F1D"/>
    <w:rsid w:val="00AD603C"/>
    <w:rsid w:val="00AE05AC"/>
    <w:rsid w:val="00AE27A2"/>
    <w:rsid w:val="00AF02BB"/>
    <w:rsid w:val="00AF191E"/>
    <w:rsid w:val="00AF48A1"/>
    <w:rsid w:val="00B007FD"/>
    <w:rsid w:val="00B0112E"/>
    <w:rsid w:val="00B01A35"/>
    <w:rsid w:val="00B02030"/>
    <w:rsid w:val="00B061F3"/>
    <w:rsid w:val="00B0750C"/>
    <w:rsid w:val="00B121F9"/>
    <w:rsid w:val="00B12508"/>
    <w:rsid w:val="00B15803"/>
    <w:rsid w:val="00B1762E"/>
    <w:rsid w:val="00B17631"/>
    <w:rsid w:val="00B32E46"/>
    <w:rsid w:val="00B34950"/>
    <w:rsid w:val="00B3500A"/>
    <w:rsid w:val="00B36FD0"/>
    <w:rsid w:val="00B5310A"/>
    <w:rsid w:val="00B54D82"/>
    <w:rsid w:val="00B625AC"/>
    <w:rsid w:val="00B74033"/>
    <w:rsid w:val="00B74E96"/>
    <w:rsid w:val="00B76CBB"/>
    <w:rsid w:val="00B7764F"/>
    <w:rsid w:val="00B81C3E"/>
    <w:rsid w:val="00B85C84"/>
    <w:rsid w:val="00B86041"/>
    <w:rsid w:val="00B9305A"/>
    <w:rsid w:val="00B93E3F"/>
    <w:rsid w:val="00B95E6F"/>
    <w:rsid w:val="00B961E1"/>
    <w:rsid w:val="00B97212"/>
    <w:rsid w:val="00BA361B"/>
    <w:rsid w:val="00BA5827"/>
    <w:rsid w:val="00BB6337"/>
    <w:rsid w:val="00BC2F55"/>
    <w:rsid w:val="00BC4F22"/>
    <w:rsid w:val="00BC6FAF"/>
    <w:rsid w:val="00BC7CC6"/>
    <w:rsid w:val="00BD246C"/>
    <w:rsid w:val="00BD344E"/>
    <w:rsid w:val="00BD5346"/>
    <w:rsid w:val="00BD7B3A"/>
    <w:rsid w:val="00BE0C97"/>
    <w:rsid w:val="00BE332B"/>
    <w:rsid w:val="00BE6CFB"/>
    <w:rsid w:val="00BE7348"/>
    <w:rsid w:val="00C05A73"/>
    <w:rsid w:val="00C13172"/>
    <w:rsid w:val="00C14D78"/>
    <w:rsid w:val="00C23DA6"/>
    <w:rsid w:val="00C31148"/>
    <w:rsid w:val="00C34639"/>
    <w:rsid w:val="00C3759B"/>
    <w:rsid w:val="00C378B8"/>
    <w:rsid w:val="00C37C4C"/>
    <w:rsid w:val="00C412A6"/>
    <w:rsid w:val="00C42626"/>
    <w:rsid w:val="00C47296"/>
    <w:rsid w:val="00C47EB8"/>
    <w:rsid w:val="00C62B2F"/>
    <w:rsid w:val="00C641F1"/>
    <w:rsid w:val="00C64A5E"/>
    <w:rsid w:val="00C669DC"/>
    <w:rsid w:val="00C7491F"/>
    <w:rsid w:val="00C75830"/>
    <w:rsid w:val="00C80A25"/>
    <w:rsid w:val="00C823AE"/>
    <w:rsid w:val="00C856B0"/>
    <w:rsid w:val="00C85DA7"/>
    <w:rsid w:val="00C87BC7"/>
    <w:rsid w:val="00C937F6"/>
    <w:rsid w:val="00CA43E3"/>
    <w:rsid w:val="00CB4C14"/>
    <w:rsid w:val="00CB5DD7"/>
    <w:rsid w:val="00CB61F4"/>
    <w:rsid w:val="00CC0F80"/>
    <w:rsid w:val="00CD1CD7"/>
    <w:rsid w:val="00CE28DB"/>
    <w:rsid w:val="00CE4812"/>
    <w:rsid w:val="00CF5ADA"/>
    <w:rsid w:val="00D175FF"/>
    <w:rsid w:val="00D17747"/>
    <w:rsid w:val="00D22398"/>
    <w:rsid w:val="00D43A82"/>
    <w:rsid w:val="00D46F1A"/>
    <w:rsid w:val="00D57407"/>
    <w:rsid w:val="00D66ED2"/>
    <w:rsid w:val="00D7482B"/>
    <w:rsid w:val="00D74ADF"/>
    <w:rsid w:val="00D752B3"/>
    <w:rsid w:val="00D8074A"/>
    <w:rsid w:val="00D82D4B"/>
    <w:rsid w:val="00D840C8"/>
    <w:rsid w:val="00D87557"/>
    <w:rsid w:val="00D931C8"/>
    <w:rsid w:val="00DA2AEE"/>
    <w:rsid w:val="00DB032D"/>
    <w:rsid w:val="00DB3981"/>
    <w:rsid w:val="00DB3DAA"/>
    <w:rsid w:val="00DB5106"/>
    <w:rsid w:val="00DB6519"/>
    <w:rsid w:val="00DB7732"/>
    <w:rsid w:val="00DC3025"/>
    <w:rsid w:val="00DC7130"/>
    <w:rsid w:val="00DD160F"/>
    <w:rsid w:val="00DD2F41"/>
    <w:rsid w:val="00DD7A4B"/>
    <w:rsid w:val="00DE1C9D"/>
    <w:rsid w:val="00DF2F79"/>
    <w:rsid w:val="00DF7D88"/>
    <w:rsid w:val="00E02AC0"/>
    <w:rsid w:val="00E2528C"/>
    <w:rsid w:val="00E31DFE"/>
    <w:rsid w:val="00E334EA"/>
    <w:rsid w:val="00E359CC"/>
    <w:rsid w:val="00E4084D"/>
    <w:rsid w:val="00E4102D"/>
    <w:rsid w:val="00E44685"/>
    <w:rsid w:val="00E44B86"/>
    <w:rsid w:val="00E55A5B"/>
    <w:rsid w:val="00E563F7"/>
    <w:rsid w:val="00E573F9"/>
    <w:rsid w:val="00E636A8"/>
    <w:rsid w:val="00E6468A"/>
    <w:rsid w:val="00E64E21"/>
    <w:rsid w:val="00E66601"/>
    <w:rsid w:val="00E744BF"/>
    <w:rsid w:val="00E7585F"/>
    <w:rsid w:val="00E766F6"/>
    <w:rsid w:val="00E830B1"/>
    <w:rsid w:val="00E83F2D"/>
    <w:rsid w:val="00E844EC"/>
    <w:rsid w:val="00E84A56"/>
    <w:rsid w:val="00E85140"/>
    <w:rsid w:val="00E936E4"/>
    <w:rsid w:val="00E93D77"/>
    <w:rsid w:val="00E93E52"/>
    <w:rsid w:val="00E972D2"/>
    <w:rsid w:val="00EA120F"/>
    <w:rsid w:val="00EB6A99"/>
    <w:rsid w:val="00EB7849"/>
    <w:rsid w:val="00EC17D7"/>
    <w:rsid w:val="00EC2065"/>
    <w:rsid w:val="00EC388E"/>
    <w:rsid w:val="00ED3CAF"/>
    <w:rsid w:val="00ED5F48"/>
    <w:rsid w:val="00EE0C5A"/>
    <w:rsid w:val="00EE71B8"/>
    <w:rsid w:val="00EF3302"/>
    <w:rsid w:val="00F00799"/>
    <w:rsid w:val="00F02074"/>
    <w:rsid w:val="00F144A3"/>
    <w:rsid w:val="00F15458"/>
    <w:rsid w:val="00F21980"/>
    <w:rsid w:val="00F26C45"/>
    <w:rsid w:val="00F30D47"/>
    <w:rsid w:val="00F3563E"/>
    <w:rsid w:val="00F36023"/>
    <w:rsid w:val="00F365B7"/>
    <w:rsid w:val="00F369F3"/>
    <w:rsid w:val="00F45A47"/>
    <w:rsid w:val="00F50A58"/>
    <w:rsid w:val="00F52700"/>
    <w:rsid w:val="00F55C85"/>
    <w:rsid w:val="00F63CA3"/>
    <w:rsid w:val="00F6604B"/>
    <w:rsid w:val="00F66233"/>
    <w:rsid w:val="00F76528"/>
    <w:rsid w:val="00F90CC7"/>
    <w:rsid w:val="00F9399B"/>
    <w:rsid w:val="00F94ADB"/>
    <w:rsid w:val="00FA2B75"/>
    <w:rsid w:val="00FA3AB8"/>
    <w:rsid w:val="00FA77B5"/>
    <w:rsid w:val="00FB2233"/>
    <w:rsid w:val="00FB6D6D"/>
    <w:rsid w:val="00FB79F0"/>
    <w:rsid w:val="00FC0F1D"/>
    <w:rsid w:val="00FC1306"/>
    <w:rsid w:val="00FC4B61"/>
    <w:rsid w:val="00FD4911"/>
    <w:rsid w:val="00FD7759"/>
    <w:rsid w:val="00FD7D5C"/>
    <w:rsid w:val="00FE53DF"/>
    <w:rsid w:val="00FE7D49"/>
    <w:rsid w:val="00FF1353"/>
    <w:rsid w:val="00FF3D36"/>
    <w:rsid w:val="011034ED"/>
    <w:rsid w:val="157F2D0A"/>
    <w:rsid w:val="27D932A2"/>
    <w:rsid w:val="50497E7F"/>
    <w:rsid w:val="7F2C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23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3">
    <w:name w:val="heading 5"/>
    <w:basedOn w:val="1"/>
    <w:next w:val="1"/>
    <w:link w:val="35"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iPriority w:val="0"/>
    <w:pPr>
      <w:adjustRightInd w:val="0"/>
      <w:spacing w:line="360" w:lineRule="atLeast"/>
      <w:ind w:firstLine="482"/>
    </w:pPr>
    <w:rPr>
      <w:kern w:val="0"/>
      <w:sz w:val="24"/>
    </w:rPr>
  </w:style>
  <w:style w:type="paragraph" w:styleId="5">
    <w:name w:val="Body Text"/>
    <w:basedOn w:val="1"/>
    <w:uiPriority w:val="0"/>
    <w:rPr>
      <w:sz w:val="28"/>
      <w:szCs w:val="24"/>
    </w:rPr>
  </w:style>
  <w:style w:type="paragraph" w:styleId="6">
    <w:name w:val="Body Text Indent"/>
    <w:basedOn w:val="1"/>
    <w:link w:val="38"/>
    <w:qFormat/>
    <w:uiPriority w:val="0"/>
    <w:pPr>
      <w:spacing w:after="120"/>
      <w:ind w:left="420" w:leftChars="200"/>
    </w:pPr>
  </w:style>
  <w:style w:type="paragraph" w:styleId="7">
    <w:name w:val="Plain Text"/>
    <w:basedOn w:val="1"/>
    <w:link w:val="25"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</w:rPr>
  </w:style>
  <w:style w:type="paragraph" w:styleId="8">
    <w:name w:val="Balloon Text"/>
    <w:basedOn w:val="1"/>
    <w:semiHidden/>
    <w:uiPriority w:val="0"/>
    <w:rPr>
      <w:sz w:val="18"/>
      <w:szCs w:val="18"/>
    </w:rPr>
  </w:style>
  <w:style w:type="paragraph" w:styleId="9">
    <w:name w:val="footer"/>
    <w:basedOn w:val="1"/>
    <w:link w:val="3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uiPriority w:val="0"/>
    <w:rPr>
      <w:color w:val="0000FF"/>
      <w:u w:val="single"/>
    </w:rPr>
  </w:style>
  <w:style w:type="character" w:customStyle="1" w:styleId="17">
    <w:name w:val="列出段落 Char"/>
    <w:link w:val="18"/>
    <w:qFormat/>
    <w:uiPriority w:val="34"/>
    <w:rPr>
      <w:rFonts w:ascii="Calibri" w:hAnsi="Calibri" w:eastAsia="宋体" w:cs="Times New Roman"/>
      <w:kern w:val="2"/>
      <w:sz w:val="21"/>
      <w:szCs w:val="22"/>
    </w:rPr>
  </w:style>
  <w:style w:type="paragraph" w:styleId="18">
    <w:name w:val="List Paragraph"/>
    <w:basedOn w:val="1"/>
    <w:link w:val="17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9">
    <w:name w:val="普通正文 Char"/>
    <w:link w:val="20"/>
    <w:locked/>
    <w:uiPriority w:val="0"/>
    <w:rPr>
      <w:rFonts w:ascii="Arial" w:hAnsi="Arial"/>
      <w:sz w:val="24"/>
      <w:szCs w:val="24"/>
    </w:rPr>
  </w:style>
  <w:style w:type="paragraph" w:customStyle="1" w:styleId="20">
    <w:name w:val="普通正文"/>
    <w:basedOn w:val="1"/>
    <w:link w:val="19"/>
    <w:uiPriority w:val="0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hAnsi="Arial"/>
      <w:kern w:val="0"/>
      <w:sz w:val="24"/>
      <w:szCs w:val="24"/>
    </w:rPr>
  </w:style>
  <w:style w:type="character" w:customStyle="1" w:styleId="21">
    <w:name w:val="apple-style-span"/>
    <w:basedOn w:val="14"/>
    <w:qFormat/>
    <w:uiPriority w:val="0"/>
  </w:style>
  <w:style w:type="character" w:customStyle="1" w:styleId="22">
    <w:name w:val="纯文本 Char"/>
    <w:qFormat/>
    <w:locked/>
    <w:uiPriority w:val="0"/>
    <w:rPr>
      <w:rFonts w:ascii="宋体" w:hAnsi="Courier New"/>
      <w:sz w:val="21"/>
    </w:rPr>
  </w:style>
  <w:style w:type="character" w:customStyle="1" w:styleId="23">
    <w:name w:val="标题 3 Char"/>
    <w:basedOn w:val="14"/>
    <w:link w:val="2"/>
    <w:qFormat/>
    <w:uiPriority w:val="0"/>
    <w:rPr>
      <w:b/>
      <w:bCs/>
      <w:kern w:val="2"/>
      <w:sz w:val="32"/>
      <w:szCs w:val="32"/>
    </w:rPr>
  </w:style>
  <w:style w:type="character" w:customStyle="1" w:styleId="24">
    <w:name w:val="页眉 Char"/>
    <w:basedOn w:val="14"/>
    <w:link w:val="10"/>
    <w:qFormat/>
    <w:uiPriority w:val="99"/>
    <w:rPr>
      <w:kern w:val="2"/>
      <w:sz w:val="18"/>
      <w:szCs w:val="18"/>
    </w:rPr>
  </w:style>
  <w:style w:type="character" w:customStyle="1" w:styleId="25">
    <w:name w:val="纯文本 Char1"/>
    <w:basedOn w:val="14"/>
    <w:link w:val="7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6">
    <w:name w:val="apple-converted-space"/>
    <w:basedOn w:val="14"/>
    <w:qFormat/>
    <w:uiPriority w:val="0"/>
  </w:style>
  <w:style w:type="paragraph" w:customStyle="1" w:styleId="27">
    <w:name w:val="Char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28">
    <w:name w:val="（符号）普通正文"/>
    <w:basedOn w:val="1"/>
    <w:uiPriority w:val="0"/>
    <w:pPr>
      <w:spacing w:line="460" w:lineRule="exact"/>
      <w:jc w:val="center"/>
    </w:pPr>
    <w:rPr>
      <w:rFonts w:ascii="宋体" w:hAnsi="宋体" w:cs="宋体"/>
      <w:szCs w:val="21"/>
    </w:rPr>
  </w:style>
  <w:style w:type="paragraph" w:customStyle="1" w:styleId="29">
    <w:name w:val="Char1"/>
    <w:basedOn w:val="1"/>
    <w:uiPriority w:val="0"/>
    <w:pPr>
      <w:tabs>
        <w:tab w:val="left" w:pos="840"/>
      </w:tabs>
      <w:ind w:left="840" w:hanging="420"/>
    </w:pPr>
  </w:style>
  <w:style w:type="paragraph" w:customStyle="1" w:styleId="30">
    <w:name w:val="默认段落字体 Para Char Char Char Char Char Char Char Char Char Char Char Char Char"/>
    <w:basedOn w:val="1"/>
    <w:uiPriority w:val="0"/>
  </w:style>
  <w:style w:type="paragraph" w:customStyle="1" w:styleId="31">
    <w:name w:val="列出段落1"/>
    <w:basedOn w:val="1"/>
    <w:uiPriority w:val="0"/>
    <w:pPr>
      <w:ind w:firstLine="420" w:firstLineChars="200"/>
    </w:pPr>
    <w:rPr>
      <w:rFonts w:hint="eastAsia"/>
      <w:szCs w:val="21"/>
    </w:rPr>
  </w:style>
  <w:style w:type="paragraph" w:customStyle="1" w:styleId="32">
    <w:name w:val="Char Char Char Char"/>
    <w:basedOn w:val="1"/>
    <w:uiPriority w:val="0"/>
  </w:style>
  <w:style w:type="paragraph" w:customStyle="1" w:styleId="33">
    <w:name w:val="paragraph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4">
    <w:name w:val="列出段落2"/>
    <w:basedOn w:val="1"/>
    <w:uiPriority w:val="0"/>
    <w:pPr>
      <w:ind w:firstLine="420" w:firstLineChars="200"/>
    </w:pPr>
    <w:rPr>
      <w:rFonts w:hint="eastAsia"/>
      <w:szCs w:val="21"/>
    </w:rPr>
  </w:style>
  <w:style w:type="character" w:customStyle="1" w:styleId="35">
    <w:name w:val="标题 5 Char"/>
    <w:basedOn w:val="14"/>
    <w:link w:val="3"/>
    <w:uiPriority w:val="0"/>
    <w:rPr>
      <w:b/>
      <w:bCs/>
      <w:kern w:val="2"/>
      <w:sz w:val="28"/>
      <w:szCs w:val="28"/>
    </w:rPr>
  </w:style>
  <w:style w:type="character" w:customStyle="1" w:styleId="36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37">
    <w:name w:val="正文文本缩进 Char"/>
    <w:basedOn w:val="14"/>
    <w:uiPriority w:val="0"/>
    <w:rPr>
      <w:kern w:val="2"/>
      <w:sz w:val="21"/>
    </w:rPr>
  </w:style>
  <w:style w:type="character" w:customStyle="1" w:styleId="38">
    <w:name w:val="正文文本缩进 Char1"/>
    <w:basedOn w:val="14"/>
    <w:link w:val="6"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file:///D:\D&#30424;&#36164;&#26009;\Documents\Tencent%252520Files\732596333\Image\C2C\M~0I@%2525607UUGAKV%25255d%25255bX%25255dUS%2525607U7.jpg" TargetMode="Externa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FC933F-8750-4EF3-BFC3-6E42871178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2290</Words>
  <Characters>2544</Characters>
  <Lines>18</Lines>
  <Paragraphs>5</Paragraphs>
  <TotalTime>11</TotalTime>
  <ScaleCrop>false</ScaleCrop>
  <LinksUpToDate>false</LinksUpToDate>
  <CharactersWithSpaces>2556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2019-03-15T07:53:00Z</dcterms:created>
  <dc:creator>政府采购中心王明华</dc:creator>
  <cp:lastModifiedBy>朱蓓蓓</cp:lastModifiedBy>
  <cp:lastPrinted>2018-09-05T07:49:00Z</cp:lastPrinted>
  <dcterms:modified xsi:type="dcterms:W3CDTF">2023-05-25T01:18:23Z</dcterms:modified>
  <dc:title>如  东  县  政  府  采  购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34F3CA77AFE64662AB9E452229E8A7FE_12</vt:lpwstr>
  </property>
</Properties>
</file>